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6AAC0">
      <w:pPr>
        <w:pStyle w:val="3"/>
        <w:spacing w:line="258" w:lineRule="auto"/>
        <w:rPr>
          <w:rFonts w:hint="default" w:ascii="Times New Roman" w:hAnsi="Times New Roman" w:cs="Times New Roman"/>
        </w:rPr>
      </w:pPr>
    </w:p>
    <w:p w14:paraId="2D7CDBC1">
      <w:pPr>
        <w:pStyle w:val="3"/>
        <w:spacing w:line="259" w:lineRule="auto"/>
        <w:rPr>
          <w:rFonts w:hint="default" w:ascii="Times New Roman" w:hAnsi="Times New Roman" w:cs="Times New Roman"/>
        </w:rPr>
      </w:pPr>
    </w:p>
    <w:p w14:paraId="13029421">
      <w:pPr>
        <w:pStyle w:val="3"/>
        <w:spacing w:line="259" w:lineRule="auto"/>
        <w:rPr>
          <w:rFonts w:hint="default" w:ascii="Times New Roman" w:hAnsi="Times New Roman" w:cs="Times New Roman"/>
        </w:rPr>
      </w:pPr>
    </w:p>
    <w:p w14:paraId="7465040C">
      <w:pPr>
        <w:pStyle w:val="3"/>
        <w:spacing w:line="259" w:lineRule="auto"/>
        <w:rPr>
          <w:rFonts w:hint="default" w:ascii="Times New Roman" w:hAnsi="Times New Roman" w:cs="Times New Roman"/>
        </w:rPr>
      </w:pPr>
    </w:p>
    <w:p w14:paraId="1B20E97E">
      <w:pPr>
        <w:pStyle w:val="3"/>
        <w:spacing w:line="259" w:lineRule="auto"/>
        <w:rPr>
          <w:rFonts w:hint="default" w:ascii="Times New Roman" w:hAnsi="Times New Roman" w:cs="Times New Roman"/>
        </w:rPr>
      </w:pPr>
    </w:p>
    <w:p w14:paraId="44578A10">
      <w:pPr>
        <w:pStyle w:val="3"/>
        <w:spacing w:line="259" w:lineRule="auto"/>
        <w:rPr>
          <w:rFonts w:hint="default" w:ascii="Times New Roman" w:hAnsi="Times New Roman" w:cs="Times New Roman"/>
        </w:rPr>
      </w:pPr>
    </w:p>
    <w:p w14:paraId="1CC66BD8">
      <w:pPr>
        <w:pStyle w:val="3"/>
        <w:spacing w:line="259" w:lineRule="auto"/>
        <w:rPr>
          <w:rFonts w:hint="default" w:ascii="Times New Roman" w:hAnsi="Times New Roman" w:cs="Times New Roman"/>
        </w:rPr>
      </w:pPr>
    </w:p>
    <w:p w14:paraId="3F6496BC">
      <w:pPr>
        <w:pStyle w:val="3"/>
        <w:spacing w:line="259" w:lineRule="auto"/>
        <w:rPr>
          <w:rFonts w:hint="default" w:ascii="Times New Roman" w:hAnsi="Times New Roman" w:cs="Times New Roman"/>
        </w:rPr>
      </w:pPr>
    </w:p>
    <w:p w14:paraId="06EAE3E1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textAlignment w:val="baseline"/>
        <w:rPr>
          <w:rFonts w:hint="default" w:ascii="Times New Roman" w:hAnsi="Times New Roman" w:cs="Times New Roman"/>
          <w:sz w:val="22"/>
          <w:szCs w:val="22"/>
        </w:rPr>
      </w:pPr>
    </w:p>
    <w:p w14:paraId="5CA679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jc w:val="center"/>
        <w:textAlignment w:val="baseline"/>
        <w:rPr>
          <w:rFonts w:hint="default" w:ascii="Times New Roman" w:hAnsi="Times New Roman" w:cs="Times New Roman" w:eastAsiaTheme="minorEastAsia"/>
          <w:b/>
          <w:bCs/>
          <w:sz w:val="48"/>
          <w:szCs w:val="48"/>
        </w:rPr>
      </w:pPr>
      <w:r>
        <w:rPr>
          <w:rFonts w:hint="default" w:ascii="Times New Roman" w:hAnsi="Times New Roman" w:cs="Times New Roman" w:eastAsiaTheme="minorEastAsia"/>
          <w:b/>
          <w:bCs/>
          <w:spacing w:val="2"/>
          <w:sz w:val="48"/>
          <w:szCs w:val="48"/>
        </w:rPr>
        <w:t>陕西省地方标准</w:t>
      </w:r>
    </w:p>
    <w:p w14:paraId="3F9F75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jc w:val="center"/>
        <w:textAlignment w:val="baseline"/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8"/>
          <w:szCs w:val="48"/>
        </w:rPr>
      </w:pP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8"/>
          <w:szCs w:val="48"/>
        </w:rPr>
        <w:t>《牛羊无布鲁氏菌病区建设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8"/>
          <w:szCs w:val="48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8"/>
          <w:szCs w:val="48"/>
        </w:rPr>
        <w:t>第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8"/>
          <w:szCs w:val="48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8"/>
          <w:szCs w:val="48"/>
        </w:rPr>
        <w:t>部分</w:t>
      </w:r>
    </w:p>
    <w:p w14:paraId="6E0E17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jc w:val="center"/>
        <w:textAlignment w:val="baseline"/>
        <w:rPr>
          <w:rFonts w:hint="default" w:ascii="Times New Roman" w:hAnsi="Times New Roman" w:cs="Times New Roman" w:eastAsiaTheme="minorEastAsia"/>
          <w:b/>
          <w:bCs/>
          <w:spacing w:val="2"/>
          <w:sz w:val="48"/>
          <w:szCs w:val="48"/>
        </w:rPr>
      </w:pP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8"/>
          <w:szCs w:val="48"/>
        </w:rPr>
        <w:t>检查消毒站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8"/>
          <w:szCs w:val="48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8"/>
          <w:szCs w:val="48"/>
        </w:rPr>
        <w:t>点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8"/>
          <w:szCs w:val="48"/>
          <w:lang w:eastAsia="zh-CN"/>
        </w:rPr>
        <w:t>）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8"/>
          <w:szCs w:val="48"/>
        </w:rPr>
        <w:t>》</w:t>
      </w:r>
      <w:r>
        <w:rPr>
          <w:rFonts w:hint="default" w:ascii="Times New Roman" w:hAnsi="Times New Roman" w:cs="Times New Roman" w:eastAsiaTheme="minorEastAsia"/>
          <w:b/>
          <w:bCs/>
          <w:spacing w:val="2"/>
          <w:sz w:val="48"/>
          <w:szCs w:val="48"/>
        </w:rPr>
        <w:t>（征求意见稿）</w:t>
      </w:r>
    </w:p>
    <w:p w14:paraId="61F1F7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left="2502"/>
        <w:textAlignment w:val="baseline"/>
        <w:rPr>
          <w:rFonts w:hint="default" w:ascii="Times New Roman" w:hAnsi="Times New Roman" w:cs="Times New Roman" w:eastAsiaTheme="minorEastAsia"/>
          <w:b/>
          <w:bCs/>
          <w:spacing w:val="2"/>
          <w:sz w:val="48"/>
          <w:szCs w:val="48"/>
        </w:rPr>
      </w:pPr>
    </w:p>
    <w:p w14:paraId="16B1F6D4">
      <w:pPr>
        <w:spacing w:before="214" w:line="219" w:lineRule="auto"/>
        <w:ind w:left="3213"/>
        <w:outlineLvl w:val="0"/>
        <w:rPr>
          <w:rFonts w:hint="default" w:ascii="Times New Roman" w:hAnsi="Times New Roman" w:eastAsia="宋体" w:cs="Times New Roman"/>
          <w:sz w:val="47"/>
          <w:szCs w:val="47"/>
        </w:rPr>
      </w:pPr>
      <w:r>
        <w:rPr>
          <w:rFonts w:hint="default" w:ascii="Times New Roman" w:hAnsi="Times New Roman" w:eastAsia="宋体" w:cs="Times New Roman"/>
          <w:b/>
          <w:bCs/>
          <w:spacing w:val="3"/>
          <w:sz w:val="47"/>
          <w:szCs w:val="47"/>
        </w:rPr>
        <w:t>编制说明</w:t>
      </w:r>
    </w:p>
    <w:p w14:paraId="1E84AA3A">
      <w:pPr>
        <w:pStyle w:val="3"/>
        <w:rPr>
          <w:rFonts w:hint="default" w:ascii="Times New Roman" w:hAnsi="Times New Roman" w:cs="Times New Roman"/>
        </w:rPr>
      </w:pPr>
    </w:p>
    <w:p w14:paraId="2C789B6E">
      <w:pPr>
        <w:pStyle w:val="3"/>
        <w:rPr>
          <w:rFonts w:hint="default" w:ascii="Times New Roman" w:hAnsi="Times New Roman" w:cs="Times New Roman"/>
        </w:rPr>
      </w:pPr>
    </w:p>
    <w:p w14:paraId="0E184161">
      <w:pPr>
        <w:pStyle w:val="3"/>
        <w:rPr>
          <w:rFonts w:hint="default" w:ascii="Times New Roman" w:hAnsi="Times New Roman" w:cs="Times New Roman"/>
        </w:rPr>
      </w:pPr>
    </w:p>
    <w:p w14:paraId="401953C1">
      <w:pPr>
        <w:pStyle w:val="3"/>
        <w:rPr>
          <w:rFonts w:hint="default" w:ascii="Times New Roman" w:hAnsi="Times New Roman" w:cs="Times New Roman"/>
        </w:rPr>
      </w:pPr>
    </w:p>
    <w:p w14:paraId="07F439BC">
      <w:pPr>
        <w:pStyle w:val="3"/>
        <w:rPr>
          <w:rFonts w:hint="default" w:ascii="Times New Roman" w:hAnsi="Times New Roman" w:cs="Times New Roman"/>
        </w:rPr>
      </w:pPr>
    </w:p>
    <w:p w14:paraId="5159B048">
      <w:pPr>
        <w:pStyle w:val="3"/>
        <w:rPr>
          <w:rFonts w:hint="default" w:ascii="Times New Roman" w:hAnsi="Times New Roman" w:cs="Times New Roman"/>
        </w:rPr>
      </w:pPr>
    </w:p>
    <w:p w14:paraId="51680F62">
      <w:pPr>
        <w:pStyle w:val="3"/>
        <w:rPr>
          <w:rFonts w:hint="default" w:ascii="Times New Roman" w:hAnsi="Times New Roman" w:cs="Times New Roman"/>
        </w:rPr>
      </w:pPr>
    </w:p>
    <w:p w14:paraId="5A524628">
      <w:pPr>
        <w:pStyle w:val="3"/>
        <w:rPr>
          <w:rFonts w:hint="default" w:ascii="Times New Roman" w:hAnsi="Times New Roman" w:cs="Times New Roman"/>
        </w:rPr>
      </w:pPr>
    </w:p>
    <w:p w14:paraId="0EAD2576">
      <w:pPr>
        <w:pStyle w:val="3"/>
        <w:rPr>
          <w:rFonts w:hint="default" w:ascii="Times New Roman" w:hAnsi="Times New Roman" w:cs="Times New Roman"/>
        </w:rPr>
      </w:pPr>
    </w:p>
    <w:p w14:paraId="6E59CC46">
      <w:pPr>
        <w:pStyle w:val="3"/>
        <w:rPr>
          <w:rFonts w:hint="default" w:ascii="Times New Roman" w:hAnsi="Times New Roman" w:cs="Times New Roman"/>
        </w:rPr>
      </w:pPr>
    </w:p>
    <w:p w14:paraId="262063E3">
      <w:pPr>
        <w:pStyle w:val="3"/>
        <w:rPr>
          <w:rFonts w:hint="default" w:ascii="Times New Roman" w:hAnsi="Times New Roman" w:cs="Times New Roman"/>
        </w:rPr>
      </w:pPr>
    </w:p>
    <w:p w14:paraId="64EC3D43">
      <w:pPr>
        <w:pStyle w:val="3"/>
        <w:rPr>
          <w:rFonts w:hint="default" w:ascii="Times New Roman" w:hAnsi="Times New Roman" w:cs="Times New Roman"/>
        </w:rPr>
      </w:pPr>
    </w:p>
    <w:p w14:paraId="4619934B">
      <w:pPr>
        <w:pStyle w:val="3"/>
        <w:rPr>
          <w:rFonts w:hint="default" w:ascii="Times New Roman" w:hAnsi="Times New Roman" w:cs="Times New Roman"/>
        </w:rPr>
      </w:pPr>
    </w:p>
    <w:p w14:paraId="59743B07">
      <w:pPr>
        <w:pStyle w:val="3"/>
        <w:rPr>
          <w:rFonts w:hint="default" w:ascii="Times New Roman" w:hAnsi="Times New Roman" w:cs="Times New Roman"/>
        </w:rPr>
      </w:pPr>
    </w:p>
    <w:p w14:paraId="18A2DF12">
      <w:pPr>
        <w:pStyle w:val="3"/>
        <w:rPr>
          <w:rFonts w:hint="default" w:ascii="Times New Roman" w:hAnsi="Times New Roman" w:cs="Times New Roman"/>
        </w:rPr>
      </w:pPr>
    </w:p>
    <w:p w14:paraId="22D3A9AB">
      <w:pPr>
        <w:pStyle w:val="3"/>
        <w:rPr>
          <w:rFonts w:hint="default" w:ascii="Times New Roman" w:hAnsi="Times New Roman" w:cs="Times New Roman"/>
        </w:rPr>
      </w:pPr>
    </w:p>
    <w:p w14:paraId="5F918C97">
      <w:pPr>
        <w:pStyle w:val="3"/>
        <w:rPr>
          <w:rFonts w:hint="default" w:ascii="Times New Roman" w:hAnsi="Times New Roman" w:cs="Times New Roman"/>
        </w:rPr>
      </w:pPr>
    </w:p>
    <w:p w14:paraId="1F7A4B3C">
      <w:pPr>
        <w:pStyle w:val="3"/>
        <w:rPr>
          <w:rFonts w:hint="default" w:ascii="Times New Roman" w:hAnsi="Times New Roman" w:cs="Times New Roman"/>
        </w:rPr>
      </w:pPr>
    </w:p>
    <w:p w14:paraId="7F4D9BE1">
      <w:pPr>
        <w:pStyle w:val="3"/>
        <w:rPr>
          <w:rFonts w:hint="default" w:ascii="Times New Roman" w:hAnsi="Times New Roman" w:cs="Times New Roman"/>
        </w:rPr>
      </w:pPr>
    </w:p>
    <w:p w14:paraId="07BC268F">
      <w:pPr>
        <w:pStyle w:val="3"/>
        <w:rPr>
          <w:rFonts w:hint="default" w:ascii="Times New Roman" w:hAnsi="Times New Roman" w:cs="Times New Roman"/>
        </w:rPr>
      </w:pPr>
    </w:p>
    <w:p w14:paraId="06774CD7">
      <w:pPr>
        <w:pStyle w:val="3"/>
        <w:rPr>
          <w:rFonts w:hint="default" w:ascii="Times New Roman" w:hAnsi="Times New Roman" w:cs="Times New Roman"/>
        </w:rPr>
      </w:pPr>
    </w:p>
    <w:p w14:paraId="569F900E">
      <w:pPr>
        <w:pStyle w:val="3"/>
        <w:rPr>
          <w:rFonts w:hint="default" w:ascii="Times New Roman" w:hAnsi="Times New Roman" w:cs="Times New Roman"/>
        </w:rPr>
      </w:pPr>
    </w:p>
    <w:p w14:paraId="7FFA5C4A">
      <w:pPr>
        <w:pStyle w:val="3"/>
        <w:rPr>
          <w:rFonts w:hint="default" w:ascii="Times New Roman" w:hAnsi="Times New Roman" w:cs="Times New Roman"/>
        </w:rPr>
      </w:pPr>
    </w:p>
    <w:p w14:paraId="69F0B2C7">
      <w:pPr>
        <w:pStyle w:val="3"/>
        <w:rPr>
          <w:rFonts w:hint="default" w:ascii="Times New Roman" w:hAnsi="Times New Roman" w:cs="Times New Roman"/>
        </w:rPr>
      </w:pPr>
    </w:p>
    <w:p w14:paraId="6D8C4AD4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default" w:ascii="Times New Roman" w:hAnsi="Times New Roman" w:eastAsia="仿宋" w:cs="Times New Roman"/>
          <w:snapToGrid w:val="0"/>
          <w:color w:val="0C0C0C"/>
          <w:spacing w:val="5"/>
          <w:kern w:val="0"/>
          <w:sz w:val="31"/>
          <w:szCs w:val="31"/>
          <w:lang w:val="en-US" w:eastAsia="en-US" w:bidi="ar-SA"/>
        </w:rPr>
      </w:pPr>
    </w:p>
    <w:p w14:paraId="271153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3150" w:right="2089" w:hanging="1022"/>
        <w:textAlignment w:val="baseline"/>
        <w:rPr>
          <w:rFonts w:hint="default" w:ascii="Times New Roman" w:hAnsi="Times New Roman" w:eastAsia="仿宋" w:cs="Times New Roman"/>
          <w:snapToGrid w:val="0"/>
          <w:color w:val="0C0C0C"/>
          <w:spacing w:val="5"/>
          <w:kern w:val="0"/>
          <w:sz w:val="31"/>
          <w:szCs w:val="31"/>
          <w:lang w:val="en-US" w:eastAsia="zh-CN" w:bidi="ar-SA"/>
        </w:rPr>
      </w:pPr>
      <w:r>
        <w:rPr>
          <w:rFonts w:hint="default" w:ascii="Times New Roman" w:hAnsi="Times New Roman" w:eastAsia="仿宋" w:cs="Times New Roman"/>
          <w:snapToGrid w:val="0"/>
          <w:color w:val="0C0C0C"/>
          <w:spacing w:val="5"/>
          <w:kern w:val="0"/>
          <w:sz w:val="31"/>
          <w:szCs w:val="31"/>
          <w:lang w:val="en-US" w:eastAsia="zh-CN" w:bidi="ar-SA"/>
        </w:rPr>
        <w:t>商洛市动物疫病预防控制中心</w:t>
      </w:r>
    </w:p>
    <w:p w14:paraId="43E2BD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2656" w:leftChars="1265" w:right="2089" w:firstLine="370" w:firstLineChars="115"/>
        <w:textAlignment w:val="baseline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6"/>
          <w:sz w:val="31"/>
          <w:szCs w:val="31"/>
        </w:rPr>
        <w:t xml:space="preserve"> </w:t>
      </w:r>
      <w:r>
        <w:rPr>
          <w:rFonts w:hint="default" w:ascii="Times New Roman" w:hAnsi="Times New Roman" w:eastAsia="仿宋" w:cs="Times New Roman"/>
          <w:spacing w:val="2"/>
          <w:sz w:val="31"/>
          <w:szCs w:val="31"/>
        </w:rPr>
        <w:t>2025年</w:t>
      </w:r>
      <w:r>
        <w:rPr>
          <w:rFonts w:hint="default" w:ascii="Times New Roman" w:hAnsi="Times New Roman" w:eastAsia="仿宋" w:cs="Times New Roman"/>
          <w:spacing w:val="2"/>
          <w:sz w:val="31"/>
          <w:szCs w:val="31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pacing w:val="2"/>
          <w:sz w:val="31"/>
          <w:szCs w:val="31"/>
        </w:rPr>
        <w:t>月</w:t>
      </w:r>
      <w:r>
        <w:rPr>
          <w:rFonts w:hint="default" w:ascii="Times New Roman" w:hAnsi="Times New Roman" w:eastAsia="仿宋" w:cs="Times New Roman"/>
          <w:spacing w:val="2"/>
          <w:sz w:val="31"/>
          <w:szCs w:val="31"/>
          <w:lang w:val="en-US" w:eastAsia="zh-CN"/>
        </w:rPr>
        <w:t>20</w:t>
      </w:r>
      <w:r>
        <w:rPr>
          <w:rFonts w:hint="default" w:ascii="Times New Roman" w:hAnsi="Times New Roman" w:eastAsia="仿宋" w:cs="Times New Roman"/>
          <w:spacing w:val="2"/>
          <w:sz w:val="31"/>
          <w:szCs w:val="31"/>
        </w:rPr>
        <w:t>日</w:t>
      </w:r>
    </w:p>
    <w:p w14:paraId="3CA22A31">
      <w:pPr>
        <w:spacing w:line="432" w:lineRule="auto"/>
        <w:rPr>
          <w:rFonts w:hint="default" w:ascii="Times New Roman" w:hAnsi="Times New Roman" w:eastAsia="仿宋" w:cs="Times New Roman"/>
          <w:sz w:val="31"/>
          <w:szCs w:val="31"/>
        </w:rPr>
        <w:sectPr>
          <w:pgSz w:w="11906" w:h="16839"/>
          <w:pgMar w:top="1431" w:right="1785" w:bottom="0" w:left="1785" w:header="0" w:footer="0" w:gutter="0"/>
          <w:pgNumType w:fmt="numberInDash"/>
          <w:cols w:space="720" w:num="1"/>
        </w:sectPr>
      </w:pPr>
    </w:p>
    <w:p w14:paraId="72198E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jc w:val="center"/>
        <w:textAlignment w:val="baseline"/>
        <w:rPr>
          <w:rFonts w:hint="default" w:ascii="Times New Roman" w:hAnsi="Times New Roman" w:cs="Times New Roman" w:eastAsiaTheme="minorEastAsia"/>
          <w:b/>
          <w:bCs/>
          <w:sz w:val="40"/>
          <w:szCs w:val="40"/>
        </w:rPr>
      </w:pPr>
      <w:r>
        <w:rPr>
          <w:rFonts w:hint="default" w:ascii="Times New Roman" w:hAnsi="Times New Roman" w:cs="Times New Roman" w:eastAsiaTheme="minorEastAsia"/>
          <w:b/>
          <w:bCs/>
          <w:spacing w:val="2"/>
          <w:sz w:val="40"/>
          <w:szCs w:val="40"/>
        </w:rPr>
        <w:t>陕西省地方标准</w:t>
      </w:r>
    </w:p>
    <w:p w14:paraId="661261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jc w:val="center"/>
        <w:textAlignment w:val="baseline"/>
        <w:rPr>
          <w:rFonts w:hint="default" w:ascii="Times New Roman" w:hAnsi="Times New Roman" w:eastAsia="宋体" w:cs="Times New Roman"/>
          <w:sz w:val="36"/>
          <w:szCs w:val="36"/>
        </w:rPr>
      </w:pP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0"/>
          <w:szCs w:val="40"/>
        </w:rPr>
        <w:t>《牛羊无布鲁氏菌病区建设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0"/>
          <w:szCs w:val="4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0"/>
          <w:szCs w:val="40"/>
        </w:rPr>
        <w:t>第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0"/>
          <w:szCs w:val="40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0"/>
          <w:szCs w:val="40"/>
        </w:rPr>
        <w:t>部分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0"/>
          <w:szCs w:val="4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0"/>
          <w:szCs w:val="40"/>
        </w:rPr>
        <w:t>检查消毒站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0"/>
          <w:szCs w:val="40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0"/>
          <w:szCs w:val="40"/>
        </w:rPr>
        <w:t>点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0"/>
          <w:szCs w:val="40"/>
          <w:lang w:eastAsia="zh-CN"/>
        </w:rPr>
        <w:t>）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0"/>
          <w:szCs w:val="40"/>
        </w:rPr>
        <w:t>》</w:t>
      </w:r>
      <w:r>
        <w:rPr>
          <w:rFonts w:hint="default" w:ascii="Times New Roman" w:hAnsi="Times New Roman" w:cs="Times New Roman" w:eastAsiaTheme="minorEastAsia"/>
          <w:b/>
          <w:bCs/>
          <w:spacing w:val="2"/>
          <w:sz w:val="40"/>
          <w:szCs w:val="40"/>
        </w:rPr>
        <w:t>（征求意见稿</w:t>
      </w:r>
      <w:r>
        <w:rPr>
          <w:rFonts w:hint="default" w:ascii="Times New Roman" w:hAnsi="Times New Roman" w:cs="Times New Roman" w:eastAsiaTheme="minorEastAsia"/>
          <w:b/>
          <w:bCs/>
          <w:spacing w:val="8"/>
          <w:position w:val="3"/>
          <w:sz w:val="40"/>
          <w:szCs w:val="40"/>
          <w:lang w:val="en-US" w:eastAsia="zh-CN"/>
        </w:rPr>
        <w:t>）编制说明</w:t>
      </w:r>
    </w:p>
    <w:p w14:paraId="0BD46C9D">
      <w:pPr>
        <w:pStyle w:val="3"/>
        <w:rPr>
          <w:rFonts w:hint="default" w:ascii="Times New Roman" w:hAnsi="Times New Roman" w:cs="Times New Roman"/>
        </w:rPr>
      </w:pPr>
    </w:p>
    <w:p w14:paraId="5330C046">
      <w:pPr>
        <w:pStyle w:val="3"/>
        <w:spacing w:line="241" w:lineRule="auto"/>
        <w:rPr>
          <w:rFonts w:hint="default" w:ascii="Times New Roman" w:hAnsi="Times New Roman" w:cs="Times New Roman"/>
        </w:rPr>
      </w:pPr>
    </w:p>
    <w:p w14:paraId="55BDC945">
      <w:pPr>
        <w:pStyle w:val="3"/>
        <w:spacing w:line="241" w:lineRule="auto"/>
        <w:rPr>
          <w:rFonts w:hint="default" w:ascii="Times New Roman" w:hAnsi="Times New Roman" w:cs="Times New Roman"/>
        </w:rPr>
      </w:pPr>
    </w:p>
    <w:p w14:paraId="52F2CEC4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674"/>
        <w:jc w:val="both"/>
        <w:rPr>
          <w:rFonts w:hint="default" w:ascii="Times New Roman" w:hAnsi="Times New Roman" w:eastAsia="楷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7"/>
          <w:position w:val="1"/>
          <w:sz w:val="31"/>
          <w:szCs w:val="31"/>
        </w:rPr>
        <w:t>一、任务来源</w:t>
      </w:r>
    </w:p>
    <w:p w14:paraId="2B1AA2CF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sz w:val="31"/>
          <w:szCs w:val="31"/>
          <w:lang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</w:rPr>
        <w:t>2024年9月10日，陕西省市场监督管理局将《牛羊无布鲁氏菌病区建设 第3部分 检查消毒站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eastAsia="zh-CN"/>
        </w:rPr>
        <w:t>（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</w:rPr>
        <w:t>点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eastAsia="zh-CN"/>
        </w:rPr>
        <w:t>）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</w:rPr>
        <w:t>》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eastAsia="zh-CN"/>
        </w:rPr>
        <w:t>（计划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</w:rPr>
        <w:t>编号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eastAsia="zh-CN"/>
        </w:rPr>
        <w:t>：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</w:rPr>
        <w:t>SDBXM134-2024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eastAsia="zh-CN"/>
        </w:rPr>
        <w:t>）列入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</w:rPr>
        <w:t>2024年第二批地方标准制修订计划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eastAsia="zh-CN"/>
        </w:rPr>
        <w:t>。</w:t>
      </w:r>
    </w:p>
    <w:p w14:paraId="31BB6EBD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adjustRightInd/>
        <w:snapToGrid/>
        <w:spacing w:line="560" w:lineRule="exact"/>
        <w:ind w:firstLine="648" w:firstLineChars="200"/>
        <w:jc w:val="both"/>
        <w:textAlignment w:val="auto"/>
        <w:rPr>
          <w:rFonts w:hint="default" w:ascii="Times New Roman" w:hAnsi="Times New Roman" w:eastAsia="黑体" w:cs="Times New Roman"/>
          <w:spacing w:val="7"/>
          <w:position w:val="1"/>
          <w:sz w:val="31"/>
          <w:szCs w:val="31"/>
          <w:lang w:eastAsia="zh-CN"/>
        </w:rPr>
      </w:pPr>
      <w:r>
        <w:rPr>
          <w:rFonts w:hint="default" w:ascii="Times New Roman" w:hAnsi="Times New Roman" w:eastAsia="黑体" w:cs="Times New Roman"/>
          <w:spacing w:val="7"/>
          <w:position w:val="1"/>
          <w:sz w:val="31"/>
          <w:szCs w:val="31"/>
          <w:lang w:eastAsia="zh-CN"/>
        </w:rPr>
        <w:t>二、项目背景</w:t>
      </w:r>
    </w:p>
    <w:p w14:paraId="774181C2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布鲁氏菌病（简称“布病”）是由布鲁氏菌引起的人兽共患传染病。牛羊感染后，可发生流产、不孕以及繁殖成活率低、肉奶等产量减少等，对畜牧业发展危害较大。感染的病畜长期带菌，人接触病畜或食用病畜的肉品、奶后也可能感染布病，是国家优先防治的人兽共患传染病之一。</w:t>
      </w:r>
    </w:p>
    <w:p w14:paraId="0FFF0391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eastAsia="zh-CN"/>
        </w:rPr>
      </w:pPr>
      <w:r>
        <w:rPr>
          <w:rFonts w:hint="default" w:ascii="Times New Roman" w:hAnsi="Times New Roman" w:eastAsia="方正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建设无规定动物疫病区，是世界动物卫生组织（WOAH）倡导的国际通行做法，也是农业农村部主推的动物疫病分区防控策略。为深入贯彻习近平总书记“人病兽防、关口前移，从源头前端阻断人兽共患病传播路径”指示精神，《陕西省畜间布鲁氏菌病防控五年行动方案（2022—2026年）》明确指出“在商洛市率先建成牛羊布病无疫区，示范带动汉中市、安康市、铜川市开展牛羊布病无疫区建设”。《陕西省农业农村厅关于印发2025年动物疫病强制免疫计划的通知》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eastAsia="zh-CN"/>
        </w:rPr>
        <w:t>（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</w:rPr>
        <w:t>陕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eastAsia="zh-CN"/>
        </w:rPr>
        <w:t>农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</w:rPr>
        <w:t>函〔202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</w:rPr>
        <w:t>〕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145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</w:rPr>
        <w:t>号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eastAsia="zh-CN"/>
        </w:rPr>
        <w:t>）明确提出，全省未列入免疫区域的牛羊严格落实检测净化措施，开展布病无疫区建设。</w:t>
      </w:r>
    </w:p>
    <w:p w14:paraId="01E5EE51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CESI仿宋-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CESI仿宋-GB2312" w:cs="Times New Roman"/>
          <w:b w:val="0"/>
          <w:kern w:val="2"/>
          <w:sz w:val="32"/>
          <w:szCs w:val="32"/>
          <w:lang w:val="en-US" w:eastAsia="zh-CN" w:bidi="ar-SA"/>
        </w:rPr>
        <w:t>2022年商洛市率先在全国启动牛羊布病无疫区建设工作，坚持“内防反弹，外防输入”原则，持续强化“检、消、杀、管”的综合防治措施，着力做好布病基线调查、检疫监管、监测净化、宣传干预等重点工作，全市牛羊布病发生率显著下降，人间病例相对稳定，内防反弹效果明显。在无疫区建设的关键时期，能否有效地实施调运监管，外防输入成为商洛市无疫区建设成败的决定因素。</w:t>
      </w:r>
    </w:p>
    <w:p w14:paraId="4A17F3DD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CESI仿宋-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CESI仿宋-GB2312" w:cs="Times New Roman"/>
          <w:b w:val="0"/>
          <w:kern w:val="2"/>
          <w:sz w:val="32"/>
          <w:szCs w:val="32"/>
          <w:lang w:val="en-US" w:eastAsia="zh-CN" w:bidi="ar-SA"/>
        </w:rPr>
        <w:t>长期以来，相当大一部分养殖（贩运）户防疫淡薄，对《中华人民共和国动物防疫法》《动物检疫管理办法》等法律法规不清楚，在引种（购买）调运前未对原产地的动物疫病流行情况开展调查、未向属地县级动物卫生监督机构申报检疫，从布病高风险区引入牛羊，到达后未执行落地报告制度、隔离制度，结果造成巨大的经济损失，甚至造成区域内疫病的传播和扩散。在县域重要交通道口设置无布鲁氏菌病区检查消毒站(点)，对进入无疫区的牛羊及牛羊产品运输车辆规范开展检查消毒，对于从源头上严防布病传入风险极为重要。</w:t>
      </w:r>
    </w:p>
    <w:p w14:paraId="68A32169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659"/>
        <w:jc w:val="both"/>
        <w:outlineLvl w:val="1"/>
        <w:rPr>
          <w:rFonts w:hint="default" w:ascii="Times New Roman" w:hAnsi="Times New Roman" w:eastAsia="黑体" w:cs="Times New Roman"/>
          <w:snapToGrid/>
          <w:color w:val="auto"/>
          <w:spacing w:val="7"/>
          <w:kern w:val="0"/>
          <w:position w:val="1"/>
          <w:sz w:val="31"/>
          <w:szCs w:val="31"/>
          <w:lang w:val="en-US" w:eastAsia="zh-CN" w:bidi="ar-SA"/>
        </w:rPr>
      </w:pPr>
      <w:r>
        <w:rPr>
          <w:rFonts w:hint="default" w:ascii="Times New Roman" w:hAnsi="Times New Roman" w:eastAsia="黑体" w:cs="Times New Roman"/>
          <w:snapToGrid/>
          <w:color w:val="auto"/>
          <w:spacing w:val="7"/>
          <w:kern w:val="0"/>
          <w:position w:val="1"/>
          <w:sz w:val="31"/>
          <w:szCs w:val="31"/>
          <w:lang w:val="en-US" w:eastAsia="zh-CN" w:bidi="ar-SA"/>
        </w:rPr>
        <w:t>三、起草单位</w:t>
      </w:r>
    </w:p>
    <w:p w14:paraId="27679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（一）承担单位</w:t>
      </w:r>
    </w:p>
    <w:p w14:paraId="7FFEA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" w:cs="Times New Roman"/>
          <w:b/>
          <w:bCs/>
          <w:color w:val="auto"/>
          <w:sz w:val="32"/>
          <w:szCs w:val="32"/>
        </w:rPr>
        <w:t>主导单位：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商洛市动物疫病预防控制中心</w:t>
      </w:r>
    </w:p>
    <w:p w14:paraId="26C66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CESI仿宋-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" w:cs="Times New Roman"/>
          <w:b/>
          <w:bCs/>
          <w:color w:val="auto"/>
          <w:sz w:val="32"/>
          <w:szCs w:val="32"/>
        </w:rPr>
        <w:t>参编单位</w:t>
      </w:r>
      <w:r>
        <w:rPr>
          <w:rFonts w:hint="default" w:ascii="Times New Roman" w:hAnsi="Times New Roman" w:eastAsia="仿宋" w:cs="Times New Roman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CESI仿宋-GB2312" w:cs="Times New Roman"/>
          <w:b w:val="0"/>
          <w:kern w:val="2"/>
          <w:sz w:val="32"/>
          <w:szCs w:val="32"/>
          <w:lang w:val="en-US" w:eastAsia="zh-CN" w:bidi="ar-SA"/>
        </w:rPr>
        <w:t>陕西省动物卫生与屠宰管理站</w:t>
      </w:r>
    </w:p>
    <w:p w14:paraId="4C86B5AB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Lines="50" w:afterLines="50" w:line="580" w:lineRule="exact"/>
        <w:ind w:firstLine="643"/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sectPr>
          <w:footerReference r:id="rId5" w:type="default"/>
          <w:pgSz w:w="11906" w:h="16839"/>
          <w:pgMar w:top="1431" w:right="1699" w:bottom="1383" w:left="1779" w:header="0" w:footer="994" w:gutter="0"/>
          <w:pgNumType w:fmt="numberInDash" w:start="1"/>
          <w:cols w:space="720" w:num="1"/>
        </w:sectPr>
      </w:pPr>
    </w:p>
    <w:p w14:paraId="1EFC808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Lines="50" w:afterLines="50" w:line="580" w:lineRule="exact"/>
        <w:ind w:firstLine="643"/>
        <w:rPr>
          <w:rFonts w:hint="default" w:ascii="Times New Roman" w:hAnsi="Times New Roman" w:eastAsia="黑体" w:cs="Times New Roman"/>
          <w:b w:val="0"/>
          <w:bCs w:val="0"/>
          <w:snapToGrid/>
          <w:color w:val="auto"/>
          <w:spacing w:val="7"/>
          <w:kern w:val="0"/>
          <w:position w:val="1"/>
          <w:sz w:val="31"/>
          <w:szCs w:val="31"/>
          <w:lang w:val="en-US" w:eastAsia="zh-CN" w:bidi="ar-SA"/>
        </w:rPr>
      </w:pP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（二）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shd w:val="clear" w:color="auto" w:fill="FFFFFF"/>
        </w:rPr>
        <w:t>主要起草人及分工</w:t>
      </w:r>
    </w:p>
    <w:p w14:paraId="0389FDB1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256" w:lineRule="auto"/>
        <w:ind w:left="3477" w:right="172" w:hanging="3286"/>
        <w:jc w:val="center"/>
        <w:rPr>
          <w:rFonts w:hint="default" w:ascii="Times New Roman" w:hAnsi="Times New Roman" w:eastAsia="仿宋" w:cs="Times New Roman"/>
          <w:sz w:val="28"/>
          <w:szCs w:val="28"/>
        </w:rPr>
      </w:pPr>
      <w:bookmarkStart w:id="0" w:name="_GoBack"/>
      <w:r>
        <w:rPr>
          <w:rFonts w:hint="default" w:ascii="Times New Roman" w:hAnsi="Times New Roman" w:eastAsia="仿宋" w:cs="Times New Roman"/>
          <w:b/>
          <w:bCs/>
          <w:spacing w:val="8"/>
          <w:sz w:val="28"/>
          <w:szCs w:val="28"/>
        </w:rPr>
        <w:t>表1</w:t>
      </w:r>
      <w:r>
        <w:rPr>
          <w:rFonts w:hint="default" w:ascii="Times New Roman" w:hAnsi="Times New Roman" w:eastAsia="仿宋" w:cs="Times New Roman"/>
          <w:spacing w:val="-28"/>
          <w:sz w:val="28"/>
          <w:szCs w:val="28"/>
        </w:rPr>
        <w:t xml:space="preserve"> </w:t>
      </w:r>
      <w:r>
        <w:rPr>
          <w:rFonts w:hint="default" w:ascii="Times New Roman" w:hAnsi="Times New Roman" w:eastAsia="仿宋" w:cs="Times New Roman"/>
          <w:spacing w:val="-28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b/>
          <w:bCs/>
          <w:spacing w:val="8"/>
          <w:sz w:val="28"/>
          <w:szCs w:val="28"/>
        </w:rPr>
        <w:t>标准起草工作组成员</w:t>
      </w:r>
      <w:r>
        <w:rPr>
          <w:rFonts w:hint="default" w:ascii="Times New Roman" w:hAnsi="Times New Roman" w:eastAsia="仿宋" w:cs="Times New Roman"/>
          <w:b/>
          <w:bCs/>
          <w:spacing w:val="4"/>
          <w:sz w:val="28"/>
          <w:szCs w:val="28"/>
        </w:rPr>
        <w:t>及任务分工</w:t>
      </w:r>
    </w:p>
    <w:bookmarkEnd w:id="0"/>
    <w:tbl>
      <w:tblPr>
        <w:tblStyle w:val="8"/>
        <w:tblW w:w="912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7"/>
        <w:gridCol w:w="1613"/>
        <w:gridCol w:w="4647"/>
        <w:gridCol w:w="1763"/>
      </w:tblGrid>
      <w:tr w14:paraId="05FFF5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1097" w:type="dxa"/>
            <w:vAlign w:val="center"/>
          </w:tcPr>
          <w:p w14:paraId="0833F33E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eastAsia="仿宋" w:cs="Times New Roman"/>
                <w:b/>
                <w:bCs/>
                <w:spacing w:val="-8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8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613" w:type="dxa"/>
            <w:vAlign w:val="center"/>
          </w:tcPr>
          <w:p w14:paraId="113C5647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姓名</w:t>
            </w:r>
          </w:p>
        </w:tc>
        <w:tc>
          <w:tcPr>
            <w:tcW w:w="4647" w:type="dxa"/>
            <w:vAlign w:val="center"/>
          </w:tcPr>
          <w:p w14:paraId="378D21AC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36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>单位</w:t>
            </w:r>
          </w:p>
        </w:tc>
        <w:tc>
          <w:tcPr>
            <w:tcW w:w="1763" w:type="dxa"/>
            <w:vAlign w:val="center"/>
          </w:tcPr>
          <w:p w14:paraId="23385F9F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35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主要工作</w:t>
            </w:r>
          </w:p>
        </w:tc>
      </w:tr>
      <w:tr w14:paraId="17AA1E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exact"/>
          <w:jc w:val="center"/>
        </w:trPr>
        <w:tc>
          <w:tcPr>
            <w:tcW w:w="1097" w:type="dxa"/>
            <w:shd w:val="clear" w:color="auto" w:fill="auto"/>
            <w:vAlign w:val="center"/>
          </w:tcPr>
          <w:p w14:paraId="35A3FB7C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1453287F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边青青</w:t>
            </w:r>
          </w:p>
        </w:tc>
        <w:tc>
          <w:tcPr>
            <w:tcW w:w="4647" w:type="dxa"/>
            <w:vAlign w:val="center"/>
          </w:tcPr>
          <w:p w14:paraId="017749E9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商洛市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动物疫病预防控制中心</w:t>
            </w:r>
          </w:p>
        </w:tc>
        <w:tc>
          <w:tcPr>
            <w:tcW w:w="1763" w:type="dxa"/>
            <w:vAlign w:val="center"/>
          </w:tcPr>
          <w:p w14:paraId="46D896B2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pacing w:val="-8"/>
                <w:sz w:val="22"/>
                <w:szCs w:val="22"/>
              </w:rPr>
              <w:t xml:space="preserve">项目负责人 </w:t>
            </w:r>
          </w:p>
          <w:p w14:paraId="61D6C23E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8"/>
                <w:sz w:val="22"/>
                <w:szCs w:val="22"/>
              </w:rPr>
              <w:t>初稿撰写</w:t>
            </w:r>
          </w:p>
        </w:tc>
      </w:tr>
      <w:tr w14:paraId="34BE0A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1097" w:type="dxa"/>
            <w:shd w:val="clear" w:color="auto" w:fill="auto"/>
            <w:vAlign w:val="center"/>
          </w:tcPr>
          <w:p w14:paraId="78981DFB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613" w:type="dxa"/>
            <w:vAlign w:val="center"/>
          </w:tcPr>
          <w:p w14:paraId="5D93F93B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许建勋</w:t>
            </w:r>
          </w:p>
        </w:tc>
        <w:tc>
          <w:tcPr>
            <w:tcW w:w="4647" w:type="dxa"/>
            <w:vAlign w:val="center"/>
          </w:tcPr>
          <w:p w14:paraId="59271E4C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商洛市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动物疫病预防控制中心</w:t>
            </w:r>
          </w:p>
        </w:tc>
        <w:tc>
          <w:tcPr>
            <w:tcW w:w="1763" w:type="dxa"/>
            <w:vAlign w:val="center"/>
          </w:tcPr>
          <w:p w14:paraId="4A6B1043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初稿撰写</w:t>
            </w:r>
          </w:p>
        </w:tc>
      </w:tr>
      <w:tr w14:paraId="5471FD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1097" w:type="dxa"/>
            <w:shd w:val="clear" w:color="auto" w:fill="auto"/>
            <w:vAlign w:val="center"/>
          </w:tcPr>
          <w:p w14:paraId="68B5385F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1613" w:type="dxa"/>
            <w:vAlign w:val="center"/>
          </w:tcPr>
          <w:p w14:paraId="5A9860FE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任晓玲</w:t>
            </w:r>
          </w:p>
        </w:tc>
        <w:tc>
          <w:tcPr>
            <w:tcW w:w="4647" w:type="dxa"/>
            <w:vAlign w:val="center"/>
          </w:tcPr>
          <w:p w14:paraId="272A7A6E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陕西省动物卫生与屠宰管理站</w:t>
            </w:r>
          </w:p>
        </w:tc>
        <w:tc>
          <w:tcPr>
            <w:tcW w:w="1763" w:type="dxa"/>
            <w:vAlign w:val="center"/>
          </w:tcPr>
          <w:p w14:paraId="14C3D584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初稿撰写</w:t>
            </w:r>
          </w:p>
        </w:tc>
      </w:tr>
      <w:tr w14:paraId="37487A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1097" w:type="dxa"/>
            <w:shd w:val="clear" w:color="auto" w:fill="auto"/>
            <w:vAlign w:val="center"/>
          </w:tcPr>
          <w:p w14:paraId="68464A4C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1613" w:type="dxa"/>
            <w:vAlign w:val="center"/>
          </w:tcPr>
          <w:p w14:paraId="631D7906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姜</w:t>
            </w:r>
            <w:r>
              <w:rPr>
                <w:rFonts w:hint="eastAsia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健</w:t>
            </w:r>
          </w:p>
        </w:tc>
        <w:tc>
          <w:tcPr>
            <w:tcW w:w="4647" w:type="dxa"/>
            <w:vAlign w:val="center"/>
          </w:tcPr>
          <w:p w14:paraId="7DD3035A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丹凤县畜牧兽医中心</w:t>
            </w:r>
          </w:p>
        </w:tc>
        <w:tc>
          <w:tcPr>
            <w:tcW w:w="1763" w:type="dxa"/>
            <w:vAlign w:val="center"/>
          </w:tcPr>
          <w:p w14:paraId="6863409C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初稿撰写</w:t>
            </w:r>
          </w:p>
        </w:tc>
      </w:tr>
      <w:tr w14:paraId="692716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1097" w:type="dxa"/>
            <w:shd w:val="clear" w:color="auto" w:fill="auto"/>
            <w:vAlign w:val="center"/>
          </w:tcPr>
          <w:p w14:paraId="709EEECC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1613" w:type="dxa"/>
            <w:vAlign w:val="center"/>
          </w:tcPr>
          <w:p w14:paraId="2F0FDF58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eastAsia" w:ascii="Times New Roman" w:hAnsi="Times New Roman" w:eastAsia="仿宋" w:cs="Times New Roman"/>
                <w:spacing w:val="-8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>李    凝</w:t>
            </w:r>
          </w:p>
        </w:tc>
        <w:tc>
          <w:tcPr>
            <w:tcW w:w="4647" w:type="dxa"/>
            <w:vAlign w:val="center"/>
          </w:tcPr>
          <w:p w14:paraId="20E23CB9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-8"/>
                <w:sz w:val="24"/>
                <w:szCs w:val="24"/>
                <w:lang w:eastAsia="zh-CN"/>
              </w:rPr>
              <w:t>山阳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县畜牧兽医中心</w:t>
            </w:r>
          </w:p>
        </w:tc>
        <w:tc>
          <w:tcPr>
            <w:tcW w:w="1763" w:type="dxa"/>
            <w:vAlign w:val="center"/>
          </w:tcPr>
          <w:p w14:paraId="7A1FFAE9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初稿撰写</w:t>
            </w:r>
          </w:p>
        </w:tc>
      </w:tr>
      <w:tr w14:paraId="23C895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1097" w:type="dxa"/>
            <w:shd w:val="clear" w:color="auto" w:fill="auto"/>
            <w:vAlign w:val="center"/>
          </w:tcPr>
          <w:p w14:paraId="10567C15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13" w:type="dxa"/>
            <w:vAlign w:val="center"/>
          </w:tcPr>
          <w:p w14:paraId="413D25DC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杨</w:t>
            </w:r>
            <w:r>
              <w:rPr>
                <w:rFonts w:hint="eastAsia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晨</w:t>
            </w:r>
          </w:p>
        </w:tc>
        <w:tc>
          <w:tcPr>
            <w:tcW w:w="4647" w:type="dxa"/>
            <w:vAlign w:val="center"/>
          </w:tcPr>
          <w:p w14:paraId="07AB6B1B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陕西省动物卫生与屠宰管理站</w:t>
            </w:r>
          </w:p>
        </w:tc>
        <w:tc>
          <w:tcPr>
            <w:tcW w:w="1763" w:type="dxa"/>
            <w:vAlign w:val="center"/>
          </w:tcPr>
          <w:p w14:paraId="57B57CF0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试验验证</w:t>
            </w:r>
          </w:p>
        </w:tc>
      </w:tr>
      <w:tr w14:paraId="7BAC70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1097" w:type="dxa"/>
            <w:shd w:val="clear" w:color="auto" w:fill="auto"/>
            <w:vAlign w:val="center"/>
          </w:tcPr>
          <w:p w14:paraId="6580E84C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13" w:type="dxa"/>
            <w:vAlign w:val="center"/>
          </w:tcPr>
          <w:p w14:paraId="3B58F442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余建桥</w:t>
            </w:r>
          </w:p>
        </w:tc>
        <w:tc>
          <w:tcPr>
            <w:tcW w:w="4647" w:type="dxa"/>
            <w:vAlign w:val="center"/>
          </w:tcPr>
          <w:p w14:paraId="2FA5F215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丹凤县动物卫生监督所</w:t>
            </w:r>
          </w:p>
        </w:tc>
        <w:tc>
          <w:tcPr>
            <w:tcW w:w="1763" w:type="dxa"/>
            <w:vAlign w:val="center"/>
          </w:tcPr>
          <w:p w14:paraId="1835C5FC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试验验证</w:t>
            </w:r>
          </w:p>
        </w:tc>
      </w:tr>
      <w:tr w14:paraId="2FAA7C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1097" w:type="dxa"/>
            <w:shd w:val="clear" w:color="auto" w:fill="auto"/>
            <w:vAlign w:val="center"/>
          </w:tcPr>
          <w:p w14:paraId="16E9C66B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2EBC4157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王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阳</w:t>
            </w:r>
          </w:p>
        </w:tc>
        <w:tc>
          <w:tcPr>
            <w:tcW w:w="4647" w:type="dxa"/>
            <w:shd w:val="clear" w:color="auto" w:fill="auto"/>
            <w:vAlign w:val="center"/>
          </w:tcPr>
          <w:p w14:paraId="5D4336A0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商洛市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动物疫病预防控制中心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02A49647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试验验证</w:t>
            </w:r>
          </w:p>
        </w:tc>
      </w:tr>
      <w:tr w14:paraId="0C39CD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1097" w:type="dxa"/>
            <w:shd w:val="clear" w:color="auto" w:fill="auto"/>
            <w:vAlign w:val="center"/>
          </w:tcPr>
          <w:p w14:paraId="024D7ADE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33E4BDA2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贺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驭</w:t>
            </w:r>
          </w:p>
        </w:tc>
        <w:tc>
          <w:tcPr>
            <w:tcW w:w="4647" w:type="dxa"/>
            <w:shd w:val="clear" w:color="auto" w:fill="auto"/>
            <w:vAlign w:val="center"/>
          </w:tcPr>
          <w:p w14:paraId="749F1BA1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商洛市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动物疫病预防控制中心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78FC82C7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试验验证</w:t>
            </w:r>
          </w:p>
        </w:tc>
      </w:tr>
      <w:tr w14:paraId="137642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1097" w:type="dxa"/>
            <w:shd w:val="clear" w:color="auto" w:fill="auto"/>
            <w:vAlign w:val="center"/>
          </w:tcPr>
          <w:p w14:paraId="63E27635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45F3BD7D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罗卉卉</w:t>
            </w:r>
          </w:p>
        </w:tc>
        <w:tc>
          <w:tcPr>
            <w:tcW w:w="4647" w:type="dxa"/>
            <w:shd w:val="clear" w:color="auto" w:fill="auto"/>
            <w:vAlign w:val="center"/>
          </w:tcPr>
          <w:p w14:paraId="7CA143FC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商洛市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动物疫病预防控制中心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7C96A8E7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试验验证</w:t>
            </w:r>
          </w:p>
        </w:tc>
      </w:tr>
      <w:tr w14:paraId="0807B5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1097" w:type="dxa"/>
            <w:shd w:val="clear" w:color="auto" w:fill="auto"/>
            <w:vAlign w:val="center"/>
          </w:tcPr>
          <w:p w14:paraId="1FEC3181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20D12263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周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spacing w:val="-8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敏</w:t>
            </w:r>
          </w:p>
        </w:tc>
        <w:tc>
          <w:tcPr>
            <w:tcW w:w="4647" w:type="dxa"/>
            <w:shd w:val="clear" w:color="auto" w:fill="auto"/>
            <w:vAlign w:val="center"/>
          </w:tcPr>
          <w:p w14:paraId="1E499F2D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eastAsia="zh-CN"/>
              </w:rPr>
              <w:t>商洛市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动物疫病预防控制中心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094B97F7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试验验证</w:t>
            </w:r>
          </w:p>
        </w:tc>
      </w:tr>
    </w:tbl>
    <w:p w14:paraId="322E0911">
      <w:pPr>
        <w:pStyle w:val="11"/>
        <w:pageBreakBefore w:val="0"/>
        <w:wordWrap/>
        <w:overflowPunct/>
        <w:topLinePunct w:val="0"/>
        <w:bidi w:val="0"/>
        <w:snapToGrid w:val="0"/>
        <w:spacing w:line="560" w:lineRule="exact"/>
        <w:ind w:firstLine="643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</w:p>
    <w:p w14:paraId="30EB8737">
      <w:pPr>
        <w:pStyle w:val="11"/>
        <w:pageBreakBefore w:val="0"/>
        <w:wordWrap/>
        <w:overflowPunct/>
        <w:topLinePunct w:val="0"/>
        <w:bidi w:val="0"/>
        <w:snapToGrid w:val="0"/>
        <w:spacing w:line="560" w:lineRule="exact"/>
        <w:ind w:firstLine="643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四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 xml:space="preserve">主要工作过程  </w:t>
      </w:r>
    </w:p>
    <w:p w14:paraId="12EBA7B2">
      <w:pPr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标准立项与筹备（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年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月至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月）</w:t>
      </w:r>
    </w:p>
    <w:p w14:paraId="4E714077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</w:rPr>
        <w:t>成立了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eastAsia="zh-CN"/>
        </w:rPr>
        <w:t>主要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</w:rPr>
        <w:t>由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eastAsia="zh-CN"/>
        </w:rPr>
        <w:t>商洛市动物疫病预防控制中心和陕西省动物卫生与屠宰管理站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</w:rPr>
        <w:t>相关专家组成的《牛羊无布鲁氏菌病区建设 第3部分  检查消毒站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eastAsia="zh-CN"/>
        </w:rPr>
        <w:t>（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</w:rPr>
        <w:t>点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eastAsia="zh-CN"/>
        </w:rPr>
        <w:t>）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</w:rPr>
        <w:t>》标准起草工作组。商洛市动物疫病预防控制中心作为项目负责单位，全面负责项目的组织、实施和总结，提出项目实施的具体方案和工作进程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eastAsia="zh-CN"/>
        </w:rPr>
        <w:t>，陕西省动物卫生与屠宰管理站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</w:rPr>
        <w:t xml:space="preserve">协助相关调查研究工作。 </w:t>
      </w:r>
    </w:p>
    <w:p w14:paraId="78F1C72C">
      <w:pPr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default" w:ascii="Times New Roman" w:hAnsi="Times New Roman" w:eastAsia="楷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调研与资料收集（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  <w:lang w:eastAsia="zh-CN"/>
        </w:rPr>
        <w:t>2024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年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月至2024年5月）</w:t>
      </w:r>
    </w:p>
    <w:p w14:paraId="740EA845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项目组在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全省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多个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市县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开展实地调研工作，深入生产一线</w:t>
      </w:r>
      <w:r>
        <w:rPr>
          <w:rFonts w:hint="eastAsia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与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基层官方兽医和牛羊养殖、贩运人员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进行了广泛交流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详细了解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我省布病防控工作现状和存在问题；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召开研讨会，与参会各方就标准化对象、适用范围和边界、主要内容和要素等方面进行了细致和深入地交流，明确了标准起草主要内容。</w:t>
      </w:r>
    </w:p>
    <w:p w14:paraId="780EB053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项目组查阅收集了相关的国家、行业和地方标准：GB/T 27518-2011《动物防疫消毒效果评价规范》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；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农业部公告第2516号《动物及动物产品运输指定通道管理办法》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；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NY/T 2843-2015《动物及动物产品指定通道建设规范》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；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NY/T 2844-2015《公路动物防疫监督检查站建设规范》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；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DB37/T 4371-2021《山东省动物及动物产品指定通道检查站建设规范》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；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DB34/T 3586-2020《安徽省公路动物卫生监督检查站建设规范》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；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DB51/T 2383-2017《四川省公路动物防疫监督检查站建设规范》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；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DB22/T 2643-2017《吉林省动物及动物产品运输指定通道检查站建设规范》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。</w:t>
      </w:r>
    </w:p>
    <w:p w14:paraId="7C844436">
      <w:pPr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3.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  <w:lang w:eastAsia="zh-CN"/>
        </w:rPr>
        <w:t>标准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草案起草（2024年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月至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月）</w:t>
      </w:r>
    </w:p>
    <w:p w14:paraId="145760E8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在查阅大量相关文献和充分吸收基层实践经验的基础上，项目组经过多次研讨和论证，完成了标准草案的初稿编制工作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。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项目组根据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牛羊布病无疫区建设工作需要，结合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现有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国家标准、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行业标准和地方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标准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，对关键技术指标进行了科学论证和优化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同时充分采纳了陕北、关中等地养殖场一线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畜牧兽医干部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>的实际经验与建议，确保标准内容既符合科学理论，又贴近生产实际。草案初稿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涵盖了布病无疫区牛羊调入原则和检查消毒站（点）建设要求、工作程序、结果处理、安全环保、运行管理等多个方面，并多次对技术规范的可操作性和适用性进行验证，确保标准的科学性、实用性和前瞻性。</w:t>
      </w:r>
    </w:p>
    <w:p w14:paraId="3CBF2739">
      <w:pPr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4.专家研讨与修改（2024年10月至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  <w:lang w:val="en-US" w:eastAsia="zh-CN"/>
        </w:rPr>
        <w:t>2025年4</w:t>
      </w:r>
      <w:r>
        <w:rPr>
          <w:rFonts w:hint="default" w:ascii="Times New Roman" w:hAnsi="Times New Roman" w:eastAsia="楷体" w:cs="Times New Roman"/>
          <w:b w:val="0"/>
          <w:bCs w:val="0"/>
          <w:sz w:val="32"/>
          <w:szCs w:val="32"/>
        </w:rPr>
        <w:t>月）</w:t>
      </w:r>
    </w:p>
    <w:p w14:paraId="4303C61B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项目组组织召开多次专家论证会，围绕检查消毒站（点）工作程序、结果处理、安全环保要求和运行管理要求等核心内容进行了深入研讨和修订。在标准草案初稿完成后，项目组通过书面函询、座谈会和线上调研等多种形式，广泛征求了行业主管部门、科研机构、养殖企业等相关方的意见，涵盖了标准的技术细节、实施可行性、区域适应性等多个方面。经过认真分析和评估，项目组采纳了其中的合理化建议，以确保标准的科学性、实用性和可操作性。包括增加检查消毒站（点）建设、进一步细化工作程序、优化运行管理等。</w:t>
      </w:r>
    </w:p>
    <w:p w14:paraId="7251510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五、标准编制原则和依据</w:t>
      </w:r>
    </w:p>
    <w:p w14:paraId="1AB5A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楷体" w:cs="Times New Roman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b w:val="0"/>
          <w:bCs w:val="0"/>
          <w:snapToGrid/>
          <w:kern w:val="2"/>
          <w:sz w:val="32"/>
          <w:szCs w:val="32"/>
          <w:lang w:val="en-US" w:eastAsia="zh-CN"/>
        </w:rPr>
        <w:t>（一）编制原则</w:t>
      </w:r>
    </w:p>
    <w:p w14:paraId="45B79E47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标准规范的起草本着“适用、规范、先进、合理”的原则，与相关国家、行业标准，与有关法律法规一致,并与现行有效标准相协调。</w:t>
      </w:r>
    </w:p>
    <w:p w14:paraId="1A862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楷体" w:cs="Times New Roman"/>
          <w:b w:val="0"/>
          <w:bCs w:val="0"/>
          <w:snapToGrid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楷体" w:cs="Times New Roman"/>
          <w:b w:val="0"/>
          <w:bCs w:val="0"/>
          <w:snapToGrid/>
          <w:kern w:val="2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楷体" w:cs="Times New Roman"/>
          <w:b w:val="0"/>
          <w:bCs w:val="0"/>
          <w:snapToGrid/>
          <w:kern w:val="2"/>
          <w:sz w:val="32"/>
          <w:szCs w:val="32"/>
          <w:lang w:eastAsia="zh-CN"/>
        </w:rPr>
        <w:t>适用性原则</w:t>
      </w:r>
    </w:p>
    <w:p w14:paraId="6445B1F3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标准制定工作建立在全省非免疫布病无疫区建设需求基础之上，充分吸收行业优秀经验、契合我省实际、反映各地市工作特点，符合行业发展的基本要求，确保标准的普适性和操作性。</w:t>
      </w:r>
    </w:p>
    <w:p w14:paraId="4B23C47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楷体" w:cs="Times New Roman"/>
          <w:b w:val="0"/>
          <w:bCs w:val="0"/>
          <w:snapToGrid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楷体" w:cs="Times New Roman"/>
          <w:b w:val="0"/>
          <w:bCs w:val="0"/>
          <w:snapToGrid/>
          <w:kern w:val="2"/>
          <w:sz w:val="32"/>
          <w:szCs w:val="32"/>
          <w:lang w:eastAsia="zh-CN"/>
        </w:rPr>
        <w:t>规范性原则</w:t>
      </w:r>
    </w:p>
    <w:p w14:paraId="0BD7C59F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本标准的制定严格按照“四稿定标”的工作程序，符合《地方标准管理办法》和《地方标准制定规范》的要求。标准的结构、要素以及编写体例应符合GB/T 1.1-2020《标准化工作导则第1部分：标准化文件的结构和起草规则》等规范性要求。</w:t>
      </w:r>
    </w:p>
    <w:p w14:paraId="5603C9A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楷体" w:cs="Times New Roman"/>
          <w:b w:val="0"/>
          <w:bCs w:val="0"/>
          <w:snapToGrid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楷体" w:cs="Times New Roman"/>
          <w:b w:val="0"/>
          <w:bCs w:val="0"/>
          <w:snapToGrid/>
          <w:kern w:val="2"/>
          <w:sz w:val="32"/>
          <w:szCs w:val="32"/>
          <w:lang w:eastAsia="zh-CN"/>
        </w:rPr>
        <w:t>先进性原则</w:t>
      </w:r>
    </w:p>
    <w:p w14:paraId="3FE0C960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该项地方标准先于国标、行标而制定，标准内容应在满足普适性的同时，适当吸收陕西省动物卫生与屠宰管理站、各地市</w:t>
      </w:r>
      <w:r>
        <w:rPr>
          <w:rFonts w:hint="eastAsia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动物疫病预防控制中心、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动物卫生监督所前期工作经验，确保标准具有适度先进性和前瞻性。</w:t>
      </w:r>
    </w:p>
    <w:p w14:paraId="0758BC3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楷体" w:cs="Times New Roman"/>
          <w:b w:val="0"/>
          <w:bCs w:val="0"/>
          <w:snapToGrid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楷体" w:cs="Times New Roman"/>
          <w:b w:val="0"/>
          <w:bCs w:val="0"/>
          <w:snapToGrid/>
          <w:kern w:val="2"/>
          <w:sz w:val="32"/>
          <w:szCs w:val="32"/>
          <w:lang w:eastAsia="zh-CN"/>
        </w:rPr>
        <w:t>协调性原则</w:t>
      </w:r>
    </w:p>
    <w:p w14:paraId="34F8F0F6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该标准与《中华人民共和国动物防疫法》《动物检疫管 理办法》等上位法规政策保持协调一致，并为上位法规规章在实施层面提供细化补充和有效支撑。</w:t>
      </w:r>
    </w:p>
    <w:p w14:paraId="5C26163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（二）编制依据</w:t>
      </w:r>
    </w:p>
    <w:p w14:paraId="122BD37A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标准制定时，主要依据和参考了以下规范性文件及资料：</w:t>
      </w:r>
    </w:p>
    <w:p w14:paraId="02561EF7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 xml:space="preserve">1.GB/T 16569-1996 《畜禽产品消毒规范》 </w:t>
      </w:r>
    </w:p>
    <w:p w14:paraId="44F30F07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 xml:space="preserve">2.NY/T 3075-2017  《动物防疫消毒技术规范》  </w:t>
      </w:r>
    </w:p>
    <w:p w14:paraId="3F70AE11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 xml:space="preserve">3.《中华人民共和国动物防疫法》  </w:t>
      </w:r>
    </w:p>
    <w:p w14:paraId="1D8414BE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4.《布鲁氏菌病防控技术要点（第一版）》（疫控卫〔2022〕172号）</w:t>
      </w:r>
    </w:p>
    <w:p w14:paraId="628BFAA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六</w:t>
      </w:r>
      <w:r>
        <w:rPr>
          <w:rFonts w:hint="eastAsia" w:ascii="Times New Roman" w:hAnsi="Times New Roman" w:eastAsia="黑体" w:cs="Times New Roman"/>
          <w:b w:val="0"/>
          <w:bCs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标准主要内容</w:t>
      </w:r>
    </w:p>
    <w:p w14:paraId="117F1212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本标准主要内容包括：范围、规范性引用文件、术语和定义、调入原则、检查消毒站（点）建设、工作程序、结果处理、安全与环保、运行管理共9部分。其中，检查消毒站（点）建设包括选址要求、布局要求和设施配置3个方面；工作程序包括查证、验物和消毒3个方面；结果处理包括合格、不合格及特殊情形3种情况的处理方法；安全与环保包括安全要求和环保要求2个方面；运行管理包括人员管理、监督检查和记录管理3个方面。</w:t>
      </w:r>
    </w:p>
    <w:p w14:paraId="3A865AC1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各部分均是在查阅国内外文献资料的基础上，结合多年的基层实践指导编写而成。</w:t>
      </w:r>
    </w:p>
    <w:p w14:paraId="4E7F6FF4">
      <w:pPr>
        <w:pStyle w:val="11"/>
        <w:pageBreakBefore w:val="0"/>
        <w:wordWrap/>
        <w:overflowPunct/>
        <w:topLinePunct w:val="0"/>
        <w:bidi w:val="0"/>
        <w:snapToGrid w:val="0"/>
        <w:spacing w:line="560" w:lineRule="exact"/>
        <w:ind w:firstLine="640"/>
        <w:rPr>
          <w:rFonts w:hint="default" w:ascii="Times New Roman" w:hAnsi="Times New Roman" w:eastAsia="黑体" w:cs="Times New Roman"/>
          <w:b w:val="0"/>
          <w:bCs/>
          <w:snapToGrid w:val="0"/>
          <w:color w:val="000000"/>
          <w:kern w:val="44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/>
          <w:snapToGrid w:val="0"/>
          <w:color w:val="000000"/>
          <w:kern w:val="44"/>
          <w:sz w:val="32"/>
          <w:szCs w:val="32"/>
          <w:lang w:val="en-US" w:eastAsia="zh-CN" w:bidi="ar-SA"/>
        </w:rPr>
        <w:t>七</w:t>
      </w:r>
      <w:r>
        <w:rPr>
          <w:rFonts w:hint="eastAsia" w:ascii="Times New Roman" w:hAnsi="Times New Roman" w:eastAsia="黑体" w:cs="Times New Roman"/>
          <w:b w:val="0"/>
          <w:bCs/>
          <w:snapToGrid w:val="0"/>
          <w:color w:val="000000"/>
          <w:kern w:val="44"/>
          <w:sz w:val="32"/>
          <w:szCs w:val="32"/>
          <w:lang w:val="en-US" w:eastAsia="zh-CN" w:bidi="ar-SA"/>
        </w:rPr>
        <w:t>、</w:t>
      </w:r>
      <w:r>
        <w:rPr>
          <w:rFonts w:hint="default" w:ascii="Times New Roman" w:hAnsi="Times New Roman" w:eastAsia="黑体" w:cs="Times New Roman"/>
          <w:b w:val="0"/>
          <w:bCs/>
          <w:snapToGrid w:val="0"/>
          <w:color w:val="000000"/>
          <w:kern w:val="44"/>
          <w:sz w:val="32"/>
          <w:szCs w:val="32"/>
          <w:lang w:val="en-US" w:eastAsia="zh-CN" w:bidi="ar-SA"/>
        </w:rPr>
        <w:t>试验验证与数据支撑</w:t>
      </w:r>
    </w:p>
    <w:p w14:paraId="00B59DD2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商洛市开展非免疫布病无疫区建设的7个县区为试验验证提供场地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en-US"/>
        </w:rPr>
        <w:t xml:space="preserve">和数据支撑。 </w:t>
      </w:r>
    </w:p>
    <w:p w14:paraId="3817A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八、知识产权说明</w:t>
      </w:r>
    </w:p>
    <w:p w14:paraId="401CE0C5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本标准不涉及知识产权问题。</w:t>
      </w:r>
    </w:p>
    <w:p w14:paraId="39E84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九、采标情况</w:t>
      </w:r>
    </w:p>
    <w:p w14:paraId="77919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无采标。</w:t>
      </w:r>
    </w:p>
    <w:p w14:paraId="11743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十、重大意见分歧处理</w:t>
      </w:r>
    </w:p>
    <w:p w14:paraId="0D284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目前尚无重大意见分歧。</w:t>
      </w:r>
    </w:p>
    <w:p w14:paraId="67B7C1BC">
      <w:pPr>
        <w:pStyle w:val="11"/>
        <w:pageBreakBefore w:val="0"/>
        <w:wordWrap/>
        <w:overflowPunct/>
        <w:topLinePunct w:val="0"/>
        <w:bidi w:val="0"/>
        <w:snapToGrid w:val="0"/>
        <w:spacing w:line="560" w:lineRule="exact"/>
        <w:ind w:firstLine="643"/>
        <w:rPr>
          <w:rFonts w:hint="default" w:ascii="Times New Roman" w:hAnsi="Times New Roman" w:eastAsia="黑体" w:cs="Times New Roman"/>
          <w:b w:val="0"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hint="default" w:ascii="Times New Roman" w:hAnsi="Times New Roman" w:eastAsia="黑体" w:cs="Times New Roman"/>
          <w:b w:val="0"/>
          <w:bCs/>
          <w:snapToGrid w:val="0"/>
          <w:color w:val="000000"/>
          <w:kern w:val="0"/>
          <w:sz w:val="32"/>
          <w:szCs w:val="32"/>
          <w:lang w:val="en-US" w:eastAsia="en-US" w:bidi="ar-SA"/>
        </w:rPr>
        <w:t>十一</w:t>
      </w:r>
      <w:r>
        <w:rPr>
          <w:rFonts w:hint="default" w:ascii="Times New Roman" w:hAnsi="Times New Roman" w:eastAsia="黑体" w:cs="Times New Roman"/>
          <w:b w:val="0"/>
          <w:bCs/>
          <w:snapToGrid w:val="0"/>
          <w:color w:val="000000"/>
          <w:kern w:val="0"/>
          <w:sz w:val="32"/>
          <w:szCs w:val="32"/>
          <w:lang w:val="en-US" w:eastAsia="zh-CN" w:bidi="ar-SA"/>
        </w:rPr>
        <w:t>、</w:t>
      </w:r>
      <w:r>
        <w:rPr>
          <w:rFonts w:hint="default" w:ascii="Times New Roman" w:hAnsi="Times New Roman" w:eastAsia="黑体" w:cs="Times New Roman"/>
          <w:b w:val="0"/>
          <w:bCs/>
          <w:snapToGrid w:val="0"/>
          <w:color w:val="000000"/>
          <w:kern w:val="0"/>
          <w:sz w:val="32"/>
          <w:szCs w:val="32"/>
          <w:lang w:val="en-US" w:eastAsia="en-US" w:bidi="ar-SA"/>
        </w:rPr>
        <w:t>标准性质建议</w:t>
      </w:r>
    </w:p>
    <w:p w14:paraId="33637935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本标准是牛羊布病无疫区建设检查消毒站（点）的推荐性标准，不属于安全性标准。依据标准化法相关规定，建议本标准的性质为推荐性地方标准。</w:t>
      </w:r>
    </w:p>
    <w:p w14:paraId="4C253B8E">
      <w:pPr>
        <w:pStyle w:val="11"/>
        <w:pageBreakBefore w:val="0"/>
        <w:wordWrap/>
        <w:overflowPunct/>
        <w:topLinePunct w:val="0"/>
        <w:bidi w:val="0"/>
        <w:snapToGrid w:val="0"/>
        <w:spacing w:line="560" w:lineRule="exact"/>
        <w:ind w:firstLine="643"/>
        <w:rPr>
          <w:rFonts w:hint="default" w:ascii="Times New Roman" w:hAnsi="Times New Roman" w:eastAsia="黑体" w:cs="Times New Roman"/>
          <w:b w:val="0"/>
          <w:bCs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/>
          <w:snapToGrid w:val="0"/>
          <w:color w:val="000000"/>
          <w:kern w:val="0"/>
          <w:sz w:val="32"/>
          <w:szCs w:val="32"/>
          <w:lang w:val="en-US" w:eastAsia="zh-CN" w:bidi="ar-SA"/>
        </w:rPr>
        <w:t>十二.贯彻标准的要求和措施建议</w:t>
      </w:r>
    </w:p>
    <w:p w14:paraId="672F7799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31" w:right="13" w:firstLine="640"/>
        <w:jc w:val="both"/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</w:pP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本标准可通过畜牧</w:t>
      </w:r>
      <w:r>
        <w:rPr>
          <w:rFonts w:hint="eastAsia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兽医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管理部门、畜牧</w:t>
      </w:r>
      <w:r>
        <w:rPr>
          <w:rFonts w:hint="eastAsia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兽医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技术推广部门以及畜牧</w:t>
      </w:r>
      <w:r>
        <w:rPr>
          <w:rFonts w:hint="eastAsia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兽医</w:t>
      </w:r>
      <w:r>
        <w:rPr>
          <w:rFonts w:hint="default" w:ascii="Times New Roman" w:hAnsi="Times New Roman" w:eastAsia="仿宋" w:cs="Times New Roman"/>
          <w:color w:val="0C0C0C"/>
          <w:spacing w:val="5"/>
          <w:sz w:val="31"/>
          <w:szCs w:val="31"/>
          <w:lang w:val="en-US" w:eastAsia="zh-CN"/>
        </w:rPr>
        <w:t>协会等组织机构进行广泛宣传，以保证标准的贯彻实施。</w:t>
      </w:r>
    </w:p>
    <w:p w14:paraId="24A07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十一、其他应说明的事项</w:t>
      </w:r>
    </w:p>
    <w:p w14:paraId="62F989AC">
      <w:pPr>
        <w:pStyle w:val="11"/>
        <w:pageBreakBefore w:val="0"/>
        <w:wordWrap/>
        <w:overflowPunct/>
        <w:topLinePunct w:val="0"/>
        <w:bidi w:val="0"/>
        <w:snapToGrid w:val="0"/>
        <w:spacing w:line="56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无。</w:t>
      </w:r>
    </w:p>
    <w:p w14:paraId="07316A38">
      <w:pPr>
        <w:pStyle w:val="11"/>
        <w:pageBreakBefore w:val="0"/>
        <w:overflowPunct/>
        <w:topLinePunct w:val="0"/>
        <w:bidi w:val="0"/>
        <w:snapToGrid w:val="0"/>
        <w:spacing w:line="56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456D319"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right"/>
        <w:textAlignment w:val="baseline"/>
        <w:rPr>
          <w:rFonts w:hint="default" w:ascii="Times New Roman" w:hAnsi="Times New Roman" w:eastAsia="方正仿宋_GB2312" w:cs="Times New Roman"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hint="default" w:ascii="Times New Roman" w:hAnsi="Times New Roman" w:eastAsia="方正仿宋_GB2312" w:cs="Times New Roman"/>
          <w:snapToGrid w:val="0"/>
          <w:color w:val="000000"/>
          <w:kern w:val="0"/>
          <w:sz w:val="32"/>
          <w:szCs w:val="32"/>
          <w:lang w:val="en-US" w:eastAsia="en-US" w:bidi="ar-SA"/>
        </w:rPr>
        <w:t>牛羊无布鲁氏菌病区建设 第3部分</w:t>
      </w:r>
      <w:r>
        <w:rPr>
          <w:rFonts w:hint="default" w:ascii="Times New Roman" w:hAnsi="Times New Roman" w:eastAsia="方正仿宋_GB2312" w:cs="Times New Roman"/>
          <w:snapToGrid w:val="0"/>
          <w:color w:val="000000"/>
          <w:kern w:val="0"/>
          <w:sz w:val="32"/>
          <w:szCs w:val="32"/>
          <w:lang w:val="en-US" w:eastAsia="zh-CN" w:bidi="ar-SA"/>
        </w:rPr>
        <w:t>：</w:t>
      </w:r>
      <w:r>
        <w:rPr>
          <w:rFonts w:hint="default" w:ascii="Times New Roman" w:hAnsi="Times New Roman" w:eastAsia="方正仿宋_GB2312" w:cs="Times New Roman"/>
          <w:snapToGrid w:val="0"/>
          <w:color w:val="000000"/>
          <w:kern w:val="0"/>
          <w:sz w:val="32"/>
          <w:szCs w:val="32"/>
          <w:lang w:val="en-US" w:eastAsia="en-US" w:bidi="ar-SA"/>
        </w:rPr>
        <w:t xml:space="preserve">  </w:t>
      </w:r>
    </w:p>
    <w:p w14:paraId="6D967886"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center"/>
        <w:textAlignment w:val="baseline"/>
        <w:rPr>
          <w:rFonts w:hint="default" w:ascii="Times New Roman" w:hAnsi="Times New Roman" w:eastAsia="方正仿宋_GB2312" w:cs="Times New Roman"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hint="default" w:ascii="Times New Roman" w:hAnsi="Times New Roman" w:eastAsia="方正仿宋_GB2312" w:cs="Times New Roman"/>
          <w:snapToGrid w:val="0"/>
          <w:color w:val="000000"/>
          <w:kern w:val="0"/>
          <w:sz w:val="32"/>
          <w:szCs w:val="32"/>
          <w:lang w:val="en-US" w:eastAsia="zh-CN" w:bidi="ar-SA"/>
        </w:rPr>
        <w:t xml:space="preserve">                </w:t>
      </w:r>
      <w:r>
        <w:rPr>
          <w:rFonts w:hint="eastAsia" w:ascii="Times New Roman" w:hAnsi="Times New Roman" w:eastAsia="方正仿宋_GB2312" w:cs="Times New Roman"/>
          <w:snapToGrid w:val="0"/>
          <w:color w:val="000000"/>
          <w:kern w:val="0"/>
          <w:sz w:val="32"/>
          <w:szCs w:val="32"/>
          <w:lang w:val="en-US" w:eastAsia="zh-CN" w:bidi="ar-SA"/>
        </w:rPr>
        <w:t xml:space="preserve">        </w:t>
      </w:r>
      <w:r>
        <w:rPr>
          <w:rFonts w:hint="default" w:ascii="Times New Roman" w:hAnsi="Times New Roman" w:eastAsia="方正仿宋_GB2312" w:cs="Times New Roman"/>
          <w:snapToGrid w:val="0"/>
          <w:color w:val="000000"/>
          <w:kern w:val="0"/>
          <w:sz w:val="32"/>
          <w:szCs w:val="32"/>
          <w:lang w:val="en-US" w:eastAsia="en-US" w:bidi="ar-SA"/>
        </w:rPr>
        <w:t>检查消毒站（点）》编制组</w:t>
      </w:r>
    </w:p>
    <w:p w14:paraId="775BF1DA">
      <w:pPr>
        <w:keepNext w:val="0"/>
        <w:keepLines w:val="0"/>
        <w:pageBreakBefore w:val="0"/>
        <w:widowControl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方正仿宋_GB2312" w:cs="Times New Roman"/>
          <w:snapToGrid w:val="0"/>
          <w:color w:val="000000"/>
          <w:kern w:val="0"/>
          <w:sz w:val="32"/>
          <w:szCs w:val="32"/>
          <w:lang w:val="en-US" w:eastAsia="en-US" w:bidi="ar-SA"/>
        </w:rPr>
        <w:t xml:space="preserve">             </w:t>
      </w:r>
      <w:r>
        <w:rPr>
          <w:rFonts w:hint="default" w:ascii="Times New Roman" w:hAnsi="Times New Roman" w:eastAsia="方正仿宋_GB2312" w:cs="Times New Roman"/>
          <w:snapToGrid w:val="0"/>
          <w:color w:val="000000"/>
          <w:kern w:val="0"/>
          <w:sz w:val="32"/>
          <w:szCs w:val="32"/>
          <w:lang w:val="en-US" w:eastAsia="zh-CN" w:bidi="ar-SA"/>
        </w:rPr>
        <w:t xml:space="preserve">            </w:t>
      </w:r>
      <w:r>
        <w:rPr>
          <w:rFonts w:hint="eastAsia" w:ascii="Times New Roman" w:hAnsi="Times New Roman" w:eastAsia="方正仿宋_GB2312" w:cs="Times New Roman"/>
          <w:snapToGrid w:val="0"/>
          <w:color w:val="000000"/>
          <w:kern w:val="0"/>
          <w:sz w:val="32"/>
          <w:szCs w:val="32"/>
          <w:lang w:val="en-US" w:eastAsia="zh-CN" w:bidi="ar-SA"/>
        </w:rPr>
        <w:t xml:space="preserve">                      </w:t>
      </w:r>
      <w:r>
        <w:rPr>
          <w:rFonts w:hint="default" w:ascii="Times New Roman" w:hAnsi="Times New Roman" w:eastAsia="方正仿宋_GB2312" w:cs="Times New Roman"/>
          <w:snapToGrid w:val="0"/>
          <w:color w:val="000000"/>
          <w:kern w:val="0"/>
          <w:sz w:val="32"/>
          <w:szCs w:val="32"/>
          <w:lang w:val="en-US" w:eastAsia="en-US" w:bidi="ar-SA"/>
        </w:rPr>
        <w:t>二〇二</w:t>
      </w:r>
      <w:r>
        <w:rPr>
          <w:rFonts w:hint="default" w:ascii="Times New Roman" w:hAnsi="Times New Roman" w:eastAsia="方正仿宋_GB2312" w:cs="Times New Roman"/>
          <w:snapToGrid w:val="0"/>
          <w:color w:val="000000"/>
          <w:kern w:val="0"/>
          <w:sz w:val="32"/>
          <w:szCs w:val="32"/>
          <w:lang w:val="en-US" w:eastAsia="zh-CN" w:bidi="ar-SA"/>
        </w:rPr>
        <w:t>五</w:t>
      </w:r>
      <w:r>
        <w:rPr>
          <w:rFonts w:hint="default" w:ascii="Times New Roman" w:hAnsi="Times New Roman" w:eastAsia="方正仿宋_GB2312" w:cs="Times New Roman"/>
          <w:snapToGrid w:val="0"/>
          <w:color w:val="000000"/>
          <w:kern w:val="0"/>
          <w:sz w:val="32"/>
          <w:szCs w:val="32"/>
          <w:lang w:val="en-US" w:eastAsia="en-US" w:bidi="ar-SA"/>
        </w:rPr>
        <w:t>年</w:t>
      </w:r>
      <w:r>
        <w:rPr>
          <w:rFonts w:hint="default" w:ascii="Times New Roman" w:hAnsi="Times New Roman" w:eastAsia="方正仿宋_GB2312" w:cs="Times New Roman"/>
          <w:snapToGrid w:val="0"/>
          <w:color w:val="000000"/>
          <w:kern w:val="0"/>
          <w:sz w:val="32"/>
          <w:szCs w:val="32"/>
          <w:lang w:val="en-US" w:eastAsia="zh-CN" w:bidi="ar-SA"/>
        </w:rPr>
        <w:t>五</w:t>
      </w:r>
      <w:r>
        <w:rPr>
          <w:rFonts w:hint="default" w:ascii="Times New Roman" w:hAnsi="Times New Roman" w:eastAsia="方正仿宋_GB2312" w:cs="Times New Roman"/>
          <w:snapToGrid w:val="0"/>
          <w:color w:val="000000"/>
          <w:kern w:val="0"/>
          <w:sz w:val="32"/>
          <w:szCs w:val="32"/>
          <w:lang w:val="en-US" w:eastAsia="en-US" w:bidi="ar-SA"/>
        </w:rPr>
        <w:t>月</w:t>
      </w:r>
    </w:p>
    <w:sectPr>
      <w:pgSz w:w="11906" w:h="16839"/>
      <w:pgMar w:top="1431" w:right="1644" w:bottom="1383" w:left="1667" w:header="0" w:footer="994" w:gutter="0"/>
      <w:pgNumType w:fmt="numberInDash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3B53FBD3-65FA-4B94-B89B-9435189C13F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6F9CE95-0C10-49DF-8777-2A3A05C7335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B4BE52F-EE42-4404-A7E7-134534A575D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2718130-DFF7-4AC0-BEAD-6CADD07A477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BBFC944C-0E0D-4DD4-8985-D93E297D389B}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  <w:embedRegular r:id="rId6" w:fontKey="{8F06F5FD-EE98-4A29-924A-B582F0823C7D}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  <w:embedRegular r:id="rId7" w:fontKey="{3B96343B-4901-4CE2-8B34-6A69E9CB9D70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8" w:fontKey="{ED9253F1-90D9-46D3-899D-BC8F521E9E0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9" w:fontKey="{3DCD7AFD-786C-4313-8032-423BE9C9BB5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6A440">
    <w:pPr>
      <w:spacing w:line="176" w:lineRule="auto"/>
      <w:ind w:left="4140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479C6C">
                          <w:pPr>
                            <w:pStyle w:val="4"/>
                            <w:rPr>
                              <w:rFonts w:hint="default" w:ascii="Times New Roman" w:hAnsi="Times New Roman" w:eastAsia="MS Gothic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eastAsia="MS Gothic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MS Gothic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MS Gothic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MS Gothic" w:cs="Times New Roman"/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eastAsia="MS Gothic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479C6C">
                    <w:pPr>
                      <w:pStyle w:val="4"/>
                      <w:rPr>
                        <w:rFonts w:hint="default" w:ascii="Times New Roman" w:hAnsi="Times New Roman" w:eastAsia="MS Gothic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eastAsia="MS Gothic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MS Gothic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MS Gothic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MS Gothic" w:cs="Times New Roman"/>
                        <w:sz w:val="21"/>
                        <w:szCs w:val="21"/>
                      </w:rPr>
                      <w:t>2</w:t>
                    </w:r>
                    <w:r>
                      <w:rPr>
                        <w:rFonts w:hint="default" w:ascii="Times New Roman" w:hAnsi="Times New Roman" w:eastAsia="MS Gothic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F19FF"/>
    <w:multiLevelType w:val="singleLevel"/>
    <w:tmpl w:val="9FEF19FF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086AA8"/>
    <w:rsid w:val="040E27E3"/>
    <w:rsid w:val="051E0804"/>
    <w:rsid w:val="0C2030B4"/>
    <w:rsid w:val="0F9E584C"/>
    <w:rsid w:val="12687563"/>
    <w:rsid w:val="12E34E3B"/>
    <w:rsid w:val="143516C6"/>
    <w:rsid w:val="1AB570BD"/>
    <w:rsid w:val="1BEF65FF"/>
    <w:rsid w:val="1D745409"/>
    <w:rsid w:val="1DFC3255"/>
    <w:rsid w:val="1E674B72"/>
    <w:rsid w:val="1E8474D2"/>
    <w:rsid w:val="20DA5ACF"/>
    <w:rsid w:val="225B49EE"/>
    <w:rsid w:val="254E4396"/>
    <w:rsid w:val="277B51EB"/>
    <w:rsid w:val="28CF3A40"/>
    <w:rsid w:val="29714AF7"/>
    <w:rsid w:val="2D023A1A"/>
    <w:rsid w:val="2F963509"/>
    <w:rsid w:val="31B5649B"/>
    <w:rsid w:val="31F6203D"/>
    <w:rsid w:val="32BD6FFF"/>
    <w:rsid w:val="349A75F8"/>
    <w:rsid w:val="35CD6577"/>
    <w:rsid w:val="35CF32D1"/>
    <w:rsid w:val="36251143"/>
    <w:rsid w:val="3A1E4827"/>
    <w:rsid w:val="3C964B49"/>
    <w:rsid w:val="3DDE42C0"/>
    <w:rsid w:val="3E55363A"/>
    <w:rsid w:val="3EFC4A0B"/>
    <w:rsid w:val="3F446ADE"/>
    <w:rsid w:val="407F1A5A"/>
    <w:rsid w:val="449556E6"/>
    <w:rsid w:val="47095F17"/>
    <w:rsid w:val="477517FF"/>
    <w:rsid w:val="49777AB0"/>
    <w:rsid w:val="4C2F4672"/>
    <w:rsid w:val="4C4A325A"/>
    <w:rsid w:val="4D7D56F6"/>
    <w:rsid w:val="4DD54DA5"/>
    <w:rsid w:val="51053BF3"/>
    <w:rsid w:val="54882B71"/>
    <w:rsid w:val="54D92F44"/>
    <w:rsid w:val="55A1772A"/>
    <w:rsid w:val="55CF47D0"/>
    <w:rsid w:val="56847368"/>
    <w:rsid w:val="57F700A8"/>
    <w:rsid w:val="5A3317D1"/>
    <w:rsid w:val="5D722610"/>
    <w:rsid w:val="5F1D65AC"/>
    <w:rsid w:val="5FC92290"/>
    <w:rsid w:val="697B0A9F"/>
    <w:rsid w:val="69D6790C"/>
    <w:rsid w:val="6B5B46E4"/>
    <w:rsid w:val="6BCB7ABB"/>
    <w:rsid w:val="74A0760B"/>
    <w:rsid w:val="75DA6B4D"/>
    <w:rsid w:val="764D37C3"/>
    <w:rsid w:val="7B0326A2"/>
    <w:rsid w:val="7BEC3136"/>
    <w:rsid w:val="7C961A20"/>
    <w:rsid w:val="7D902913"/>
    <w:rsid w:val="7E7713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10">
    <w:name w:val="author_text"/>
    <w:basedOn w:val="1"/>
    <w:qFormat/>
    <w:uiPriority w:val="0"/>
    <w:pPr>
      <w:kinsoku/>
      <w:autoSpaceDE/>
      <w:autoSpaceDN/>
      <w:adjustRightInd/>
      <w:snapToGrid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段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3411</Words>
  <Characters>3616</Characters>
  <TotalTime>13</TotalTime>
  <ScaleCrop>false</ScaleCrop>
  <LinksUpToDate>false</LinksUpToDate>
  <CharactersWithSpaces>3750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2025-03-03T15:37:00Z</dcterms:created>
  <dc:creator>lenovo</dc:creator>
  <cp:lastModifiedBy>青青</cp:lastModifiedBy>
  <cp:lastPrinted>2025-05-20T08:49:00Z</cp:lastPrinted>
  <dcterms:modified xsi:type="dcterms:W3CDTF">2025-05-21T00:56:37Z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2025-04-14T11:31:02Z</vt:filetime>
  </property>
  <property fmtid="{D5CDD505-2E9C-101B-9397-08002B2CF9AE}" pid="4" name="KSOTemplateDocerSaveRecord">
    <vt:lpwstr>eyJoZGlkIjoiMTFkMWRhYTQ4YTE4YWM5OWIxZWMxODc2NzJlZTAzMjQiLCJ1c2VySWQiOiI0MjIzMjA5MjAifQ==</vt:lpwstr>
  </property>
  <property fmtid="{D5CDD505-2E9C-101B-9397-08002B2CF9AE}" pid="5" name="KSOProductBuildVer">
    <vt:lpwstr>2052-12.1.0.20784</vt:lpwstr>
  </property>
  <property fmtid="{D5CDD505-2E9C-101B-9397-08002B2CF9AE}" pid="6" name="ICV">
    <vt:lpwstr>146665F1192E4CD5AB4B44B0BA28A027_12</vt:lpwstr>
  </property>
</Properties>
</file>